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664" w:rsidRPr="0010331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ДОГОВОР ПОСТАВКИ</w:t>
      </w:r>
    </w:p>
    <w:p w:rsidR="008C5664" w:rsidRPr="00932556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4"/>
          <w:szCs w:val="24"/>
        </w:rPr>
      </w:pPr>
    </w:p>
    <w:tbl>
      <w:tblPr>
        <w:tblW w:w="949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C5664" w:rsidRPr="00103314" w:rsidTr="008A638A">
        <w:trPr>
          <w:trHeight w:val="320"/>
        </w:trPr>
        <w:tc>
          <w:tcPr>
            <w:tcW w:w="4749" w:type="dxa"/>
          </w:tcPr>
          <w:p w:rsidR="008C5664" w:rsidRPr="0010331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город Чита</w:t>
            </w:r>
          </w:p>
        </w:tc>
        <w:tc>
          <w:tcPr>
            <w:tcW w:w="4749" w:type="dxa"/>
          </w:tcPr>
          <w:p w:rsidR="008C5664" w:rsidRPr="0010331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 ___________ 20 __</w:t>
            </w:r>
            <w:r w:rsidRPr="00103314">
              <w:rPr>
                <w:sz w:val="24"/>
                <w:szCs w:val="24"/>
              </w:rPr>
              <w:t xml:space="preserve"> года</w:t>
            </w:r>
          </w:p>
        </w:tc>
      </w:tr>
    </w:tbl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  <w:highlight w:val="white"/>
        </w:rPr>
      </w:pP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</w:rPr>
      </w:pPr>
      <w:r w:rsidRPr="004537C9">
        <w:rPr>
          <w:b/>
          <w:sz w:val="24"/>
          <w:szCs w:val="24"/>
        </w:rPr>
        <w:t>[</w:t>
      </w:r>
      <w:r w:rsidRPr="004537C9">
        <w:rPr>
          <w:b/>
          <w:sz w:val="24"/>
          <w:szCs w:val="24"/>
          <w:highlight w:val="green"/>
        </w:rPr>
        <w:t>полное и сокращенное в скобках наименование</w:t>
      </w:r>
      <w:r w:rsidRPr="004537C9">
        <w:rPr>
          <w:b/>
          <w:sz w:val="24"/>
          <w:szCs w:val="24"/>
        </w:rPr>
        <w:t>]</w:t>
      </w:r>
      <w:r w:rsidRPr="00F0453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white"/>
        </w:rPr>
        <w:t>именуемый</w:t>
      </w:r>
      <w:r w:rsidRPr="00103314">
        <w:rPr>
          <w:sz w:val="24"/>
          <w:szCs w:val="24"/>
          <w:highlight w:val="white"/>
        </w:rPr>
        <w:t xml:space="preserve"> в дальнейшем </w:t>
      </w:r>
      <w:r w:rsidRPr="00103314">
        <w:rPr>
          <w:b/>
          <w:sz w:val="24"/>
          <w:szCs w:val="24"/>
          <w:highlight w:val="white"/>
        </w:rPr>
        <w:t>«Поставщик»</w:t>
      </w:r>
      <w:r w:rsidRPr="00103314">
        <w:rPr>
          <w:sz w:val="24"/>
          <w:szCs w:val="24"/>
          <w:highlight w:val="white"/>
        </w:rPr>
        <w:t>,</w:t>
      </w:r>
      <w:r>
        <w:rPr>
          <w:sz w:val="24"/>
          <w:szCs w:val="24"/>
        </w:rPr>
        <w:t xml:space="preserve"> в лице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уполномоченное лицо</w:t>
      </w:r>
      <w:r w:rsidRPr="004537C9">
        <w:rPr>
          <w:sz w:val="24"/>
          <w:szCs w:val="24"/>
        </w:rPr>
        <w:t>]</w:t>
      </w:r>
      <w:r>
        <w:rPr>
          <w:sz w:val="24"/>
          <w:szCs w:val="24"/>
        </w:rPr>
        <w:t xml:space="preserve">, действующего на основании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реквизиты документа, подтверждающего полномочия</w:t>
      </w:r>
      <w:r>
        <w:rPr>
          <w:sz w:val="24"/>
          <w:szCs w:val="24"/>
        </w:rPr>
        <w:t xml:space="preserve">], </w:t>
      </w:r>
      <w:r w:rsidRPr="007755F4">
        <w:rPr>
          <w:sz w:val="24"/>
          <w:szCs w:val="24"/>
        </w:rPr>
        <w:t xml:space="preserve">с одной стороны и </w:t>
      </w: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</w:rPr>
      </w:pPr>
      <w:r w:rsidRPr="00103314">
        <w:rPr>
          <w:b/>
          <w:sz w:val="24"/>
          <w:szCs w:val="24"/>
        </w:rPr>
        <w:t>Публичное акционерное общество «Территориальная генерирующая компания № 14» (ПАО «ТГК-14»)</w:t>
      </w:r>
      <w:r w:rsidRPr="00103314">
        <w:rPr>
          <w:sz w:val="24"/>
          <w:szCs w:val="24"/>
        </w:rPr>
        <w:t xml:space="preserve">, именуемое в дальнейшем </w:t>
      </w:r>
      <w:r w:rsidRPr="00103314">
        <w:rPr>
          <w:b/>
          <w:sz w:val="24"/>
          <w:szCs w:val="24"/>
        </w:rPr>
        <w:t>«Покупатель»</w:t>
      </w:r>
      <w:r w:rsidRPr="00103314">
        <w:rPr>
          <w:sz w:val="24"/>
          <w:szCs w:val="24"/>
        </w:rPr>
        <w:t xml:space="preserve">, </w:t>
      </w:r>
      <w:r w:rsidRPr="00517C20">
        <w:rPr>
          <w:sz w:val="24"/>
          <w:szCs w:val="24"/>
        </w:rPr>
        <w:t xml:space="preserve">в лице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уполномоченное лицо</w:t>
      </w:r>
      <w:r w:rsidRPr="004537C9">
        <w:rPr>
          <w:sz w:val="24"/>
          <w:szCs w:val="24"/>
        </w:rPr>
        <w:t>]</w:t>
      </w:r>
      <w:r>
        <w:rPr>
          <w:sz w:val="24"/>
          <w:szCs w:val="24"/>
        </w:rPr>
        <w:t xml:space="preserve">, действующего на основании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реквизиты документа, подтверждающего полномочия</w:t>
      </w:r>
      <w:r>
        <w:rPr>
          <w:sz w:val="24"/>
          <w:szCs w:val="24"/>
        </w:rPr>
        <w:t>]</w:t>
      </w:r>
      <w:r w:rsidRPr="002021C9">
        <w:rPr>
          <w:sz w:val="24"/>
          <w:szCs w:val="24"/>
        </w:rPr>
        <w:t xml:space="preserve">, </w:t>
      </w:r>
      <w:r>
        <w:rPr>
          <w:sz w:val="24"/>
          <w:szCs w:val="24"/>
        </w:rPr>
        <w:t>с другой стороны,</w:t>
      </w: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2021C9">
        <w:rPr>
          <w:sz w:val="24"/>
          <w:szCs w:val="24"/>
        </w:rPr>
        <w:t xml:space="preserve">аключили настоящий договор </w:t>
      </w:r>
      <w:r>
        <w:rPr>
          <w:sz w:val="24"/>
          <w:szCs w:val="24"/>
        </w:rPr>
        <w:t xml:space="preserve">поставки (далее по тексту – Договор) </w:t>
      </w:r>
      <w:r w:rsidRPr="002021C9">
        <w:rPr>
          <w:sz w:val="24"/>
          <w:szCs w:val="24"/>
        </w:rPr>
        <w:t>о нижеследующе</w:t>
      </w:r>
      <w:r>
        <w:rPr>
          <w:sz w:val="24"/>
          <w:szCs w:val="24"/>
        </w:rPr>
        <w:t>м</w:t>
      </w:r>
      <w:r w:rsidRPr="00103314">
        <w:rPr>
          <w:sz w:val="24"/>
          <w:szCs w:val="24"/>
        </w:rPr>
        <w:t>:</w:t>
      </w:r>
    </w:p>
    <w:p w:rsidR="008C5664" w:rsidRPr="0010331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103314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</w:pPr>
      <w:r w:rsidRPr="00103314">
        <w:rPr>
          <w:b/>
          <w:sz w:val="24"/>
          <w:szCs w:val="24"/>
        </w:rPr>
        <w:t xml:space="preserve">Предмет </w:t>
      </w:r>
      <w:r>
        <w:rPr>
          <w:b/>
          <w:sz w:val="24"/>
          <w:szCs w:val="24"/>
        </w:rPr>
        <w:t>Д</w:t>
      </w:r>
      <w:r w:rsidRPr="00103314">
        <w:rPr>
          <w:b/>
          <w:sz w:val="24"/>
          <w:szCs w:val="24"/>
        </w:rPr>
        <w:t>оговора</w:t>
      </w: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Поставщик принимает на себя обязательство поставить Покупателю, а Покупатель принять и оплатить на условиях, оговоренных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оговором, товарно-материальные ценности (далее</w:t>
      </w:r>
      <w:r>
        <w:rPr>
          <w:sz w:val="24"/>
          <w:szCs w:val="24"/>
        </w:rPr>
        <w:t xml:space="preserve"> по тексту</w:t>
      </w:r>
      <w:r w:rsidRPr="00103314">
        <w:rPr>
          <w:sz w:val="24"/>
          <w:szCs w:val="24"/>
        </w:rPr>
        <w:t xml:space="preserve"> – ТМЦ) в соответствии с наименованием, технической характеристикой, качеством, количеством, в сроки и по цене, указанными в согласованных полномочными представителями обеих сторон спецификациях, которые прилагаются к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оговору и являются его неотъемлемой частью.</w:t>
      </w:r>
    </w:p>
    <w:p w:rsidR="008C5664" w:rsidRPr="0010331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Основание для поставки и качество ТМЦ</w:t>
      </w:r>
    </w:p>
    <w:p w:rsidR="008C5664" w:rsidRPr="00FC2420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Основанием для поставки ТМЦ является спецификация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оговору, подписанная полномочными представителями обеих сторон. </w:t>
      </w:r>
    </w:p>
    <w:p w:rsidR="008C5664" w:rsidRPr="00FC2420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right="-37" w:hanging="567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В оформленной спецификации должно быть указано:</w:t>
      </w:r>
    </w:p>
    <w:p w:rsidR="008C5664" w:rsidRPr="008C65A9" w:rsidRDefault="008C5664" w:rsidP="008C5664">
      <w:pPr>
        <w:pStyle w:val="a6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 w:rsidRPr="008C65A9">
        <w:rPr>
          <w:sz w:val="24"/>
          <w:szCs w:val="24"/>
        </w:rPr>
        <w:t>в вводной части: (1) дата составления спецификации и ее порядковый номер, (2) дата и номер Договора, (3) наименование (полное и сокращенное в скобках) сторон;</w:t>
      </w:r>
    </w:p>
    <w:p w:rsidR="008C5664" w:rsidRDefault="008C5664" w:rsidP="008C5664">
      <w:pPr>
        <w:pStyle w:val="a6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табличной части: (1) </w:t>
      </w:r>
      <w:r w:rsidRPr="00103314">
        <w:rPr>
          <w:sz w:val="24"/>
          <w:szCs w:val="24"/>
        </w:rPr>
        <w:t xml:space="preserve">наименование, </w:t>
      </w:r>
      <w:r>
        <w:rPr>
          <w:sz w:val="24"/>
          <w:szCs w:val="24"/>
        </w:rPr>
        <w:t xml:space="preserve">(2) </w:t>
      </w:r>
      <w:r w:rsidRPr="00103314">
        <w:rPr>
          <w:sz w:val="24"/>
          <w:szCs w:val="24"/>
        </w:rPr>
        <w:t>техническая характеристика</w:t>
      </w:r>
      <w:r>
        <w:rPr>
          <w:sz w:val="24"/>
          <w:szCs w:val="24"/>
        </w:rPr>
        <w:t xml:space="preserve"> (при необходимости)</w:t>
      </w:r>
      <w:r w:rsidRPr="00103314">
        <w:rPr>
          <w:sz w:val="24"/>
          <w:szCs w:val="24"/>
        </w:rPr>
        <w:t xml:space="preserve">, </w:t>
      </w:r>
      <w:r>
        <w:rPr>
          <w:sz w:val="24"/>
          <w:szCs w:val="24"/>
        </w:rPr>
        <w:t>(3) единица измерения, (4) количество, (5) цена и (6) сумма за единицу измерения с учетом налогов – по каждой позиции ТМЦ, (7) итоговая сумма с учетом налогов, (8) выделенный НДС (если подлежит уплате);</w:t>
      </w:r>
    </w:p>
    <w:p w:rsidR="008C5664" w:rsidRPr="008C65A9" w:rsidRDefault="008C5664" w:rsidP="008C5664">
      <w:pPr>
        <w:pStyle w:val="a6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 w:rsidRPr="008C65A9">
        <w:rPr>
          <w:sz w:val="24"/>
          <w:szCs w:val="24"/>
        </w:rPr>
        <w:t xml:space="preserve">в содержательной части: </w:t>
      </w:r>
      <w:r>
        <w:rPr>
          <w:sz w:val="22"/>
          <w:szCs w:val="24"/>
        </w:rPr>
        <w:t xml:space="preserve">(1) </w:t>
      </w:r>
      <w:r w:rsidRPr="008C65A9">
        <w:rPr>
          <w:sz w:val="24"/>
          <w:szCs w:val="24"/>
        </w:rPr>
        <w:t xml:space="preserve">общая стоимость ТМЦ с учетом налогов, выделенный НДС (если подлежит уплате) либо основания для освобождения от его уплаты, </w:t>
      </w:r>
      <w:r>
        <w:rPr>
          <w:sz w:val="24"/>
          <w:szCs w:val="24"/>
        </w:rPr>
        <w:t xml:space="preserve">(2) </w:t>
      </w:r>
      <w:r w:rsidRPr="008C65A9">
        <w:rPr>
          <w:sz w:val="24"/>
          <w:szCs w:val="24"/>
        </w:rPr>
        <w:t xml:space="preserve">качество ТМЦ, </w:t>
      </w:r>
      <w:r>
        <w:rPr>
          <w:sz w:val="24"/>
          <w:szCs w:val="24"/>
        </w:rPr>
        <w:t xml:space="preserve">(3) </w:t>
      </w:r>
      <w:r w:rsidRPr="008C65A9">
        <w:rPr>
          <w:sz w:val="24"/>
          <w:szCs w:val="24"/>
        </w:rPr>
        <w:t xml:space="preserve">срок поставки, </w:t>
      </w:r>
      <w:r>
        <w:rPr>
          <w:sz w:val="24"/>
          <w:szCs w:val="24"/>
        </w:rPr>
        <w:t xml:space="preserve">(4) </w:t>
      </w:r>
      <w:r w:rsidRPr="008C65A9">
        <w:rPr>
          <w:sz w:val="24"/>
          <w:szCs w:val="24"/>
        </w:rPr>
        <w:t xml:space="preserve">способ поставки, </w:t>
      </w:r>
      <w:r>
        <w:rPr>
          <w:sz w:val="24"/>
          <w:szCs w:val="24"/>
        </w:rPr>
        <w:t xml:space="preserve">(5) </w:t>
      </w:r>
      <w:r w:rsidRPr="008C65A9">
        <w:rPr>
          <w:sz w:val="24"/>
          <w:szCs w:val="24"/>
        </w:rPr>
        <w:t xml:space="preserve">условия оплаты, </w:t>
      </w:r>
      <w:r>
        <w:rPr>
          <w:sz w:val="24"/>
          <w:szCs w:val="24"/>
        </w:rPr>
        <w:t xml:space="preserve">(6) </w:t>
      </w:r>
      <w:r w:rsidRPr="008C65A9">
        <w:rPr>
          <w:sz w:val="24"/>
          <w:szCs w:val="24"/>
        </w:rPr>
        <w:t xml:space="preserve">гарантийный срок на ТМЦ, </w:t>
      </w:r>
      <w:r>
        <w:rPr>
          <w:sz w:val="24"/>
          <w:szCs w:val="24"/>
        </w:rPr>
        <w:t xml:space="preserve">(7) </w:t>
      </w:r>
      <w:r w:rsidRPr="008C65A9">
        <w:rPr>
          <w:sz w:val="24"/>
          <w:szCs w:val="24"/>
        </w:rPr>
        <w:t xml:space="preserve">указание о включении или не включении стоимости тары (упаковки), транспортных расходов, прочих обязательных платежей в цену ТМЦ, </w:t>
      </w:r>
      <w:r>
        <w:rPr>
          <w:sz w:val="24"/>
          <w:szCs w:val="24"/>
        </w:rPr>
        <w:t xml:space="preserve">(8) </w:t>
      </w:r>
      <w:r w:rsidRPr="008C65A9">
        <w:rPr>
          <w:sz w:val="24"/>
          <w:szCs w:val="24"/>
        </w:rPr>
        <w:t xml:space="preserve">наименование грузоотправителя, ИНН и КПП, адрес, </w:t>
      </w:r>
      <w:r>
        <w:rPr>
          <w:sz w:val="24"/>
          <w:szCs w:val="24"/>
        </w:rPr>
        <w:t xml:space="preserve">(9) </w:t>
      </w:r>
      <w:r w:rsidRPr="008C65A9">
        <w:rPr>
          <w:sz w:val="24"/>
          <w:szCs w:val="24"/>
        </w:rPr>
        <w:t>наименование грузополучателя – соответствующего филиала Покупателя с указанием</w:t>
      </w:r>
      <w:r>
        <w:rPr>
          <w:sz w:val="24"/>
          <w:szCs w:val="24"/>
        </w:rPr>
        <w:t xml:space="preserve"> ИНН Покупателя,</w:t>
      </w:r>
      <w:r w:rsidRPr="008C65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адреса и </w:t>
      </w:r>
      <w:r w:rsidRPr="008C65A9">
        <w:rPr>
          <w:sz w:val="24"/>
          <w:szCs w:val="24"/>
        </w:rPr>
        <w:t xml:space="preserve">КПП </w:t>
      </w:r>
      <w:r>
        <w:rPr>
          <w:sz w:val="24"/>
          <w:szCs w:val="24"/>
        </w:rPr>
        <w:t xml:space="preserve">филиала </w:t>
      </w:r>
      <w:r w:rsidRPr="008C65A9">
        <w:rPr>
          <w:sz w:val="24"/>
          <w:szCs w:val="24"/>
        </w:rPr>
        <w:t>(в соответствии с п. 4.6 Договора) либо Покупателя</w:t>
      </w:r>
      <w:r>
        <w:rPr>
          <w:sz w:val="24"/>
          <w:szCs w:val="24"/>
        </w:rPr>
        <w:t>, его адреса и КПП</w:t>
      </w:r>
      <w:r w:rsidRPr="008C65A9">
        <w:rPr>
          <w:sz w:val="24"/>
          <w:szCs w:val="24"/>
        </w:rPr>
        <w:t>, если поставка осуществляется для нужд аппарата управления Покупателя</w:t>
      </w:r>
      <w:r>
        <w:rPr>
          <w:sz w:val="24"/>
          <w:szCs w:val="24"/>
        </w:rPr>
        <w:t>, (10) подписи Сторон.</w:t>
      </w:r>
    </w:p>
    <w:p w:rsidR="008C566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Подписание сторонами спецификаций к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оговору п</w:t>
      </w:r>
      <w:r>
        <w:rPr>
          <w:sz w:val="24"/>
          <w:szCs w:val="24"/>
        </w:rPr>
        <w:t>роизводится в следующем порядке:</w:t>
      </w:r>
    </w:p>
    <w:p w:rsidR="008C5664" w:rsidRPr="008C65A9" w:rsidRDefault="008C5664" w:rsidP="008C5664">
      <w:pPr>
        <w:pStyle w:val="a6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993"/>
        <w:jc w:val="both"/>
        <w:rPr>
          <w:sz w:val="24"/>
          <w:szCs w:val="24"/>
        </w:rPr>
      </w:pPr>
      <w:r w:rsidRPr="008C65A9">
        <w:rPr>
          <w:sz w:val="24"/>
          <w:szCs w:val="24"/>
        </w:rPr>
        <w:lastRenderedPageBreak/>
        <w:t xml:space="preserve">В течение срока действия Договора Покупатель составляет на имя Поставщика заявку с перечислением наименования, ассортимента и количества необходимых ТМЦ и отсылает ее в адрес Поставщика, в том числе по электронной почте с </w:t>
      </w:r>
      <w:r>
        <w:rPr>
          <w:sz w:val="24"/>
          <w:szCs w:val="24"/>
        </w:rPr>
        <w:t>направлением оригинала по почте.</w:t>
      </w:r>
    </w:p>
    <w:p w:rsidR="008C5664" w:rsidRPr="00103314" w:rsidRDefault="008C5664" w:rsidP="008C5664">
      <w:pPr>
        <w:pStyle w:val="a6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99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Поставщик в течение пяти дней со дня получения </w:t>
      </w:r>
      <w:r>
        <w:rPr>
          <w:sz w:val="24"/>
          <w:szCs w:val="24"/>
        </w:rPr>
        <w:t xml:space="preserve">заявки </w:t>
      </w:r>
      <w:r w:rsidRPr="00103314">
        <w:rPr>
          <w:sz w:val="24"/>
          <w:szCs w:val="24"/>
        </w:rPr>
        <w:t xml:space="preserve">должен согласовать заявку, подготовить на ее основании спецификацию, подписать и выслать указанную спецификацию в адрес Покупателя, в том числе по электронной почте с направлением оригинала по почте. Спецификация, направленная по электронной почте, имеет юридическую силу до обмена оригиналами. Все спецификации нумеруются Покупателем в хронологическом порядке с указанием даты оформления и являются неотъемлемой частью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 xml:space="preserve">оговора. </w:t>
      </w:r>
    </w:p>
    <w:p w:rsidR="008C5664" w:rsidRPr="00103314" w:rsidRDefault="008C5664" w:rsidP="008C5664">
      <w:pPr>
        <w:pStyle w:val="a6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99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В случае неполучения Покупателем спецификации от Поставщика в установленный настоящим пунктом срок, предложение, изложе</w:t>
      </w:r>
      <w:r>
        <w:rPr>
          <w:sz w:val="24"/>
          <w:szCs w:val="24"/>
        </w:rPr>
        <w:t>нное в заявке (оферта), утрачивает силу.</w:t>
      </w:r>
    </w:p>
    <w:p w:rsidR="008C5664" w:rsidRPr="0010331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103314">
        <w:rPr>
          <w:sz w:val="24"/>
          <w:szCs w:val="24"/>
        </w:rPr>
        <w:t>ачество поставляемых ТМЦ должно соответствовать ГОСТ и</w:t>
      </w:r>
      <w:r>
        <w:rPr>
          <w:sz w:val="24"/>
          <w:szCs w:val="24"/>
        </w:rPr>
        <w:t>/</w:t>
      </w:r>
      <w:r w:rsidRPr="00103314">
        <w:rPr>
          <w:sz w:val="24"/>
          <w:szCs w:val="24"/>
        </w:rPr>
        <w:t>или ТУ и</w:t>
      </w:r>
      <w:r>
        <w:rPr>
          <w:sz w:val="24"/>
          <w:szCs w:val="24"/>
        </w:rPr>
        <w:t>/</w:t>
      </w:r>
      <w:r w:rsidRPr="00103314">
        <w:rPr>
          <w:sz w:val="24"/>
          <w:szCs w:val="24"/>
        </w:rPr>
        <w:t xml:space="preserve">или другим нормативным документам, а также прочим требованиям, указанным в согласованных сторонами спецификациях к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оговору и удостоверя</w:t>
      </w:r>
      <w:r>
        <w:rPr>
          <w:sz w:val="24"/>
          <w:szCs w:val="24"/>
        </w:rPr>
        <w:t>ться сертификатом качества ТМЦ.</w:t>
      </w:r>
    </w:p>
    <w:p w:rsidR="008C5664" w:rsidRPr="0010331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При отсутствии иных указаний о способе поставки в спецификации, поставка осуществляется самовывозом ТМЦ транспортом Покупателя со склада Поставщика.</w:t>
      </w:r>
    </w:p>
    <w:p w:rsidR="008C5664" w:rsidRPr="0010331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Поставщик обязуется не позднее двух дней с момента подписания сторонами спецификации (если иной срок не согласован сторонами в спецификации) подготовить ТМЦ к передаче Покупателю и обеспечить наличие на своем складе указанных ТМЦ до момента их полной выборки Покупателем.</w:t>
      </w:r>
    </w:p>
    <w:p w:rsidR="008C566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Стороны вправе при подписании спецификации установить, что Поставщик осуществляет доставку ТМЦ до склада Покупателя, с обязательным отражением срока доставки и ее стоимости. При отсутствии указаний о стоимости доставки, расходы на ее выполнение считаются включенными в цену ТМЦ.</w:t>
      </w:r>
    </w:p>
    <w:p w:rsidR="008C5664" w:rsidRPr="0010331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567" w:right="-37" w:hanging="567"/>
        <w:jc w:val="both"/>
        <w:rPr>
          <w:rFonts w:ascii="Courier New" w:eastAsia="Courier New" w:hAnsi="Courier New" w:cs="Courier New"/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Обязанности сторон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b/>
          <w:sz w:val="24"/>
          <w:szCs w:val="24"/>
        </w:rPr>
        <w:t>Поставщик обязан: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Произвести поставку ТМЦ в адрес Покупателя в сроки и в соответствии с наименованием, характеристикой, качеством, количеством и по цене, </w:t>
      </w:r>
      <w:r>
        <w:rPr>
          <w:sz w:val="24"/>
          <w:szCs w:val="24"/>
        </w:rPr>
        <w:t>в соответствии со</w:t>
      </w:r>
      <w:r w:rsidRPr="00FC2420">
        <w:rPr>
          <w:sz w:val="24"/>
          <w:szCs w:val="24"/>
        </w:rPr>
        <w:t xml:space="preserve"> спецификац</w:t>
      </w:r>
      <w:r>
        <w:rPr>
          <w:sz w:val="24"/>
          <w:szCs w:val="24"/>
        </w:rPr>
        <w:t>ией</w:t>
      </w:r>
      <w:r w:rsidRPr="00FC2420">
        <w:rPr>
          <w:sz w:val="24"/>
          <w:szCs w:val="24"/>
        </w:rPr>
        <w:t xml:space="preserve">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Принять все меры, чтобы поставляемые ТМЦ были надежно и надлежащим образом упакованы, маркированы в соответствии с ГОСТ и/или ТУ и(или) другими нормативными документами, а также прочими требованиями, указанными в согласованных сторонами спецификациях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 путем их надежной упаковки и маркировки.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Известить Покупателя о готовности ТМЦ к отгрузке.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отгрузке ТМЦ направить в адрес Грузополучателя следующие сопроводительные документы:</w:t>
      </w:r>
    </w:p>
    <w:p w:rsidR="008C5664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202455">
        <w:rPr>
          <w:sz w:val="24"/>
          <w:szCs w:val="24"/>
        </w:rPr>
        <w:t>накладную (товар</w:t>
      </w:r>
      <w:r>
        <w:rPr>
          <w:sz w:val="24"/>
          <w:szCs w:val="24"/>
        </w:rPr>
        <w:t>н</w:t>
      </w:r>
      <w:r w:rsidRPr="00202455">
        <w:rPr>
          <w:sz w:val="24"/>
          <w:szCs w:val="24"/>
        </w:rPr>
        <w:t>о</w:t>
      </w:r>
      <w:r>
        <w:rPr>
          <w:sz w:val="24"/>
          <w:szCs w:val="24"/>
        </w:rPr>
        <w:t>-</w:t>
      </w:r>
      <w:r w:rsidRPr="00202455">
        <w:rPr>
          <w:sz w:val="24"/>
          <w:szCs w:val="24"/>
        </w:rPr>
        <w:t>транспортную, простую, товарную), либо акт приема-передачи, либо универсальный передаточный документ, оформленный по форме Приложения № 1 к письму ФНС России от 21.10.2013</w:t>
      </w:r>
      <w:r>
        <w:rPr>
          <w:sz w:val="24"/>
          <w:szCs w:val="24"/>
        </w:rPr>
        <w:t xml:space="preserve"> № ММВ-20-3/96@;</w:t>
      </w:r>
    </w:p>
    <w:p w:rsidR="008C5664" w:rsidRPr="00202455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202455">
        <w:rPr>
          <w:sz w:val="24"/>
          <w:szCs w:val="24"/>
        </w:rPr>
        <w:lastRenderedPageBreak/>
        <w:t>сертификат качества (сертификат происхождения, соответствия) и другие необходимые документы, удостоверяющие качество;</w:t>
      </w:r>
    </w:p>
    <w:p w:rsidR="008C5664" w:rsidRPr="00103314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03314">
        <w:rPr>
          <w:sz w:val="24"/>
          <w:szCs w:val="24"/>
        </w:rPr>
        <w:t>чет-фактуру.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Применяемая Поставщиком форма товарной накладной или универсального передаточного документа оформляются в соответствии с </w:t>
      </w:r>
      <w:r>
        <w:rPr>
          <w:sz w:val="24"/>
          <w:szCs w:val="24"/>
        </w:rPr>
        <w:t>Ф</w:t>
      </w:r>
      <w:r w:rsidRPr="00103314">
        <w:rPr>
          <w:sz w:val="24"/>
          <w:szCs w:val="24"/>
        </w:rPr>
        <w:t>едеральны</w:t>
      </w:r>
      <w:r>
        <w:rPr>
          <w:sz w:val="24"/>
          <w:szCs w:val="24"/>
        </w:rPr>
        <w:t>м</w:t>
      </w:r>
      <w:r w:rsidRPr="00103314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ом</w:t>
      </w:r>
      <w:r w:rsidRPr="00103314">
        <w:rPr>
          <w:sz w:val="24"/>
          <w:szCs w:val="24"/>
        </w:rPr>
        <w:t xml:space="preserve"> «О бухгалтерском учете</w:t>
      </w:r>
      <w:r>
        <w:rPr>
          <w:sz w:val="24"/>
          <w:szCs w:val="24"/>
        </w:rPr>
        <w:t>»</w:t>
      </w:r>
      <w:r w:rsidRPr="00103314">
        <w:rPr>
          <w:sz w:val="24"/>
          <w:szCs w:val="24"/>
        </w:rPr>
        <w:t>, Поставщиком заполняются все предусмотренные формой строки и графы. При несоблюдении порядка оформления товарной накладной или универсального передаточного документа, транспортных документов, документы считаются не выставленными, а сумма НДС не подлежит оплате Поставщику, обязательства Покупателя по оплате товара приостанавливаются до момента получения Покупателем всех надлежащим образом заполненных документов.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Поставщик считается исполнившим свою обязанность по передаче ТМЦ Покупателю с момента подписания Покупателем акта приема-передачи ТМЦ, товарно-транспортной накладной, товарной накладной или универсального передаточного документа. 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Право собственности у Покупателя на ТМЦ возникает с момента его принятия Покупателем.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поставке технически сложного товара со множеством составных частей, деталей (оборудование, машины, приборы, вычислительная, бытовая техника и пр.) указать в спецификации перечень комплектующих изделий (составных частей), входящих в комплектацию ТМЦ и поставляемых вместе с ТМЦ.</w:t>
      </w:r>
    </w:p>
    <w:p w:rsidR="008C5664" w:rsidRPr="00103314" w:rsidRDefault="008C5664" w:rsidP="008C5664">
      <w:pPr>
        <w:spacing w:line="276" w:lineRule="auto"/>
        <w:ind w:left="993"/>
        <w:jc w:val="both"/>
        <w:rPr>
          <w:sz w:val="24"/>
        </w:rPr>
      </w:pPr>
      <w:r w:rsidRPr="00103314">
        <w:rPr>
          <w:sz w:val="24"/>
        </w:rPr>
        <w:t>При поставке ТМЦ, не являющихся технически сложными, но имеющие какие-либо дополнительные детали, которые могут понадобиться для их полноценного использования, Поставщик обязан указать данные о комплектности ТМЦ по своему выбору:</w:t>
      </w:r>
    </w:p>
    <w:p w:rsidR="008C5664" w:rsidRPr="00FC2420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в спецификации;</w:t>
      </w:r>
    </w:p>
    <w:p w:rsidR="008C5664" w:rsidRPr="00FC2420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в документации на ТМЦ (технический паспорт, инструкция по эксплуатации и иная документация, предоставляемая изготовителем и(или) Поставщиком), при этом такая документация должна быть обязательно передана Покупателю вместе с ТМЦ.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</w:pPr>
      <w:r w:rsidRPr="00FC2420">
        <w:rPr>
          <w:sz w:val="24"/>
          <w:szCs w:val="24"/>
        </w:rPr>
        <w:t xml:space="preserve">При намерении осуществить уступку прав и/или обязанностей Поставщик направляет соответствующее уведомление Покупателю. В течение 15 (пятнадцати) дней с момента получения уведомления Покупатель представляет Поставщику перечень документов и информацию, необходимые для оформления согласия на уступку. </w:t>
      </w:r>
      <w:r w:rsidRPr="00FC2420">
        <w:rPr>
          <w:sz w:val="24"/>
        </w:rPr>
        <w:t xml:space="preserve">Уступка Поставщиком по </w:t>
      </w:r>
      <w:r>
        <w:rPr>
          <w:sz w:val="24"/>
        </w:rPr>
        <w:t>Д</w:t>
      </w:r>
      <w:r w:rsidRPr="00FC2420">
        <w:rPr>
          <w:sz w:val="24"/>
        </w:rPr>
        <w:t>оговору осуществляется в порядке и по основаниям, определенным законодательством Российской Федерации.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hanging="578"/>
        <w:jc w:val="both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Покупатель обязан: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Произвести приемку ТМЦ по количеству и качеству на своем складе в порядке и сроки, установленные Инструкциями о порядке приемки продукции производственно-технического назначения и товаров народного потребления по количеству и по качеству, утвержденными постановлениями Госарбитража СССР от 15.06.1965 № П-6 и от 25.04.1966 № П-7 соответственно, в части, не противоречащей гражданскому законодательству (в случае возникновения </w:t>
      </w:r>
      <w:r w:rsidRPr="00FC2420">
        <w:rPr>
          <w:sz w:val="24"/>
          <w:szCs w:val="24"/>
        </w:rPr>
        <w:lastRenderedPageBreak/>
        <w:t>отклонений по качеству и/или количеству претензии предъявляются Поставщику). О выявленных несоответствиях или недопоставках ТМЦ стороны незамедлительно извещают друг друга, в том числе по электронной почте с направлением оригинала по почте. При установленной недостаче ТМЦ акт на недостачу составляется с соблюдением правил, установленных Инструкцией о порядке приемки продукции производственно-технического назначения и товаров народного потребления по количеству. Приемка ТМЦ осуществляется путем подписания сторонами акта приема-передачи ТМЦ.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получении ТМЦ от транспортной организации, проверить фактическое соответствие поставляемых ТМЦ сведениям, указанным в транспортных и сопроводительных документах.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Оплатить ТМЦ в размере и в порядке, предусмотренном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оговором, в том числе транспортные расходы.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Покупатель вправе удержать из денежных средств, подлежащих перечислению Поставщику за поставленные ТМЦ, денежные средства в размере начисленной в порядке </w:t>
      </w:r>
      <w:r>
        <w:rPr>
          <w:sz w:val="24"/>
          <w:szCs w:val="24"/>
        </w:rPr>
        <w:t>п.п.</w:t>
      </w:r>
      <w:r w:rsidRPr="00FC2420">
        <w:rPr>
          <w:sz w:val="24"/>
          <w:szCs w:val="24"/>
        </w:rPr>
        <w:t xml:space="preserve"> 5.4, 5.6, 5.7 Договора неустойки, в письменном виде уведомив об этом Поставщика.</w:t>
      </w:r>
    </w:p>
    <w:p w:rsidR="008C5664" w:rsidRPr="0010331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 xml:space="preserve">Сумма </w:t>
      </w:r>
      <w:r>
        <w:rPr>
          <w:b/>
          <w:sz w:val="24"/>
          <w:szCs w:val="24"/>
        </w:rPr>
        <w:t>Д</w:t>
      </w:r>
      <w:r w:rsidRPr="00103314">
        <w:rPr>
          <w:b/>
          <w:sz w:val="24"/>
          <w:szCs w:val="24"/>
        </w:rPr>
        <w:t>оговора, цена ТМЦ и порядок расчетов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Сумма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оговора складывается из сумм, подписанных полномочными представителями обеих сторон спецификаций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Цена на ТМЦ, поставляемые в рамках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оговора, согласовывается сторонами в соответствующей спецификации в момент ее подписания. Цены в спецификациях указываются в конкретной сумме как за каждую единицу ТМЦ, так и за всю партию ТМЦ, с учетом НДС, выделенного отдельной строкой.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Согласованный в спецификации ассортимент поставляемых ТМЦ может быть изменен путем подписания полномочными представителями обеих сторон дополнений к соответствующей спецификации.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Покупатель производит оплату за поставляемые ТМЦ в порядке, согласованном сторонами в подписываемых спецификациях. В случае если в спецификации отсутствует указание срока, в течение которого Покупатель обязан оплатить стоимость поставленных ТМЦ, Покупатель производит оплату в течение 60 (шестидесяти) дней с момента получения ТМЦ на основании выставленного Поставщиком счёта (счёта-фактуры), но не ранее срока передачи документов согласно </w:t>
      </w:r>
      <w:r>
        <w:rPr>
          <w:sz w:val="24"/>
          <w:szCs w:val="24"/>
        </w:rPr>
        <w:t xml:space="preserve">подп. </w:t>
      </w:r>
      <w:r w:rsidRPr="00FC2420">
        <w:rPr>
          <w:sz w:val="24"/>
          <w:szCs w:val="24"/>
        </w:rPr>
        <w:t>3.1.4, 3.1.5</w:t>
      </w:r>
      <w:r>
        <w:rPr>
          <w:sz w:val="24"/>
          <w:szCs w:val="24"/>
        </w:rPr>
        <w:t xml:space="preserve"> Д</w:t>
      </w:r>
      <w:r w:rsidRPr="00FC2420">
        <w:rPr>
          <w:sz w:val="24"/>
          <w:szCs w:val="24"/>
        </w:rPr>
        <w:t>оговора.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перечислении денежных средств днем оплаты считается дата поступления денежных средств на расчетный счет Поставщика. В случае если указание о включении стоимости тары (упаковки) в спецификациях отсутствует, стоимость тары (упаковки) считается включенной в стоимость ТМЦ.</w:t>
      </w:r>
    </w:p>
    <w:p w:rsidR="008C5664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подписываемых сторонами спецификациях, а также в выставляемых Поставщиком счетах и счетах-фактурах на оплату ТМЦ должен быть в обязательном порядке указан грузополучатель ТМЦ – соответствующий филиал </w:t>
      </w:r>
      <w:r>
        <w:rPr>
          <w:sz w:val="24"/>
          <w:szCs w:val="24"/>
        </w:rPr>
        <w:t>Покупателя</w:t>
      </w:r>
      <w:r w:rsidRPr="00FC2420">
        <w:rPr>
          <w:sz w:val="24"/>
          <w:szCs w:val="24"/>
        </w:rPr>
        <w:t xml:space="preserve"> с указанием его КПП согласно следующему перечню:</w:t>
      </w:r>
    </w:p>
    <w:tbl>
      <w:tblPr>
        <w:tblStyle w:val="a4"/>
        <w:tblW w:w="8950" w:type="dxa"/>
        <w:tblInd w:w="421" w:type="dxa"/>
        <w:tblLook w:val="04A0" w:firstRow="1" w:lastRow="0" w:firstColumn="1" w:lastColumn="0" w:noHBand="0" w:noVBand="1"/>
      </w:tblPr>
      <w:tblGrid>
        <w:gridCol w:w="846"/>
        <w:gridCol w:w="3404"/>
        <w:gridCol w:w="3404"/>
        <w:gridCol w:w="1296"/>
      </w:tblGrid>
      <w:tr w:rsidR="008C5664" w:rsidTr="008A638A">
        <w:trPr>
          <w:tblHeader/>
        </w:trPr>
        <w:tc>
          <w:tcPr>
            <w:tcW w:w="846" w:type="dxa"/>
            <w:tcBorders>
              <w:top w:val="nil"/>
              <w:left w:val="nil"/>
              <w:bottom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404" w:type="dxa"/>
            <w:tcBorders>
              <w:top w:val="nil"/>
              <w:bottom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1296" w:type="dxa"/>
            <w:tcBorders>
              <w:top w:val="nil"/>
              <w:bottom w:val="double" w:sz="4" w:space="0" w:color="auto"/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</w:t>
            </w:r>
          </w:p>
        </w:tc>
      </w:tr>
      <w:tr w:rsidR="008C5664" w:rsidTr="008A638A">
        <w:tc>
          <w:tcPr>
            <w:tcW w:w="846" w:type="dxa"/>
            <w:tcBorders>
              <w:top w:val="double" w:sz="4" w:space="0" w:color="auto"/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4.6.1.</w:t>
            </w:r>
          </w:p>
        </w:tc>
        <w:tc>
          <w:tcPr>
            <w:tcW w:w="3404" w:type="dxa"/>
            <w:tcBorders>
              <w:top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«Теплоэнергосбыт Бурятии»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филиал ПАО «ТГК-14»</w:t>
            </w:r>
          </w:p>
        </w:tc>
        <w:tc>
          <w:tcPr>
            <w:tcW w:w="3404" w:type="dxa"/>
            <w:tcBorders>
              <w:top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670045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Улан-Удэ,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ул. Трактовая, д. 26</w:t>
            </w:r>
          </w:p>
        </w:tc>
        <w:tc>
          <w:tcPr>
            <w:tcW w:w="1296" w:type="dxa"/>
            <w:tcBorders>
              <w:top w:val="double" w:sz="4" w:space="0" w:color="auto"/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032603001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4.6.2.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«Генерация Бурятии»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670045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Улан-Удэ,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ул. Шаляпина, д. 41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032603002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4.6.3.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У-УЭК</w:t>
            </w:r>
            <w:r w:rsidRPr="00103314">
              <w:rPr>
                <w:sz w:val="24"/>
                <w:szCs w:val="24"/>
              </w:rPr>
              <w:t xml:space="preserve">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670045, г.</w:t>
            </w:r>
            <w:r>
              <w:rPr>
                <w:sz w:val="24"/>
                <w:szCs w:val="24"/>
              </w:rPr>
              <w:t xml:space="preserve"> </w:t>
            </w:r>
            <w:r w:rsidRPr="00103314">
              <w:rPr>
                <w:sz w:val="24"/>
                <w:szCs w:val="24"/>
              </w:rPr>
              <w:t xml:space="preserve">Улан-Удэ,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103314">
              <w:rPr>
                <w:sz w:val="24"/>
                <w:szCs w:val="24"/>
              </w:rPr>
              <w:t>Трактовая, 11</w:t>
            </w:r>
            <w:r>
              <w:rPr>
                <w:sz w:val="24"/>
                <w:szCs w:val="24"/>
              </w:rPr>
              <w:t>Б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032603003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4.6.4.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«Читинский теплоэнергос</w:t>
            </w:r>
            <w:r>
              <w:rPr>
                <w:sz w:val="24"/>
                <w:szCs w:val="24"/>
              </w:rPr>
              <w:t xml:space="preserve">быт»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672000,</w:t>
            </w:r>
            <w:r w:rsidRPr="00103314">
              <w:rPr>
                <w:sz w:val="24"/>
                <w:szCs w:val="24"/>
              </w:rPr>
              <w:t xml:space="preserve"> г. Чита,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Профсоюзная, д. 23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753602001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4.6.5.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«ЧЭК»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672020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Чита,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ул. Лазо, д. 1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753602002</w:t>
            </w:r>
          </w:p>
        </w:tc>
      </w:tr>
      <w:tr w:rsidR="008C5664" w:rsidTr="008A638A">
        <w:tc>
          <w:tcPr>
            <w:tcW w:w="846" w:type="dxa"/>
            <w:tcBorders>
              <w:left w:val="nil"/>
              <w:bottom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4.6.6.</w:t>
            </w:r>
          </w:p>
        </w:tc>
        <w:tc>
          <w:tcPr>
            <w:tcW w:w="3404" w:type="dxa"/>
            <w:tcBorders>
              <w:bottom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«Читинская генерация»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  <w:tcBorders>
              <w:bottom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672022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Чита,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пр-д Энергостроителей, д. 1</w:t>
            </w:r>
          </w:p>
        </w:tc>
        <w:tc>
          <w:tcPr>
            <w:tcW w:w="1296" w:type="dxa"/>
            <w:tcBorders>
              <w:bottom w:val="nil"/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753602003</w:t>
            </w:r>
          </w:p>
        </w:tc>
      </w:tr>
    </w:tbl>
    <w:p w:rsidR="008C5664" w:rsidRPr="00932556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932556">
        <w:rPr>
          <w:sz w:val="24"/>
          <w:szCs w:val="24"/>
        </w:rPr>
        <w:t xml:space="preserve">В течение срока действия </w:t>
      </w:r>
      <w:r>
        <w:rPr>
          <w:sz w:val="24"/>
          <w:szCs w:val="24"/>
        </w:rPr>
        <w:t>Д</w:t>
      </w:r>
      <w:r w:rsidRPr="00932556">
        <w:rPr>
          <w:sz w:val="24"/>
          <w:szCs w:val="24"/>
        </w:rPr>
        <w:t>оговора, Поставщик ежеквартально, до 15 (пятнадцатого) числа месяца, следующего за отчетным кварталом, составляет двухсторонний акт сверки взаимных расчетов и направляет его в адрес Покупателя. Покупатель в течение 10 (десяти) календарных дней с момента получения акта подписывает его и направляет его Поставщику или направляет мотивированный отказ от подписания. В случае не направления Покупателем подписанного акта сверки взаиморасчетов в указанный срок или мотивированного отказа от подписания акта, акт считается принятым в редакции Поставщика.</w:t>
      </w:r>
    </w:p>
    <w:p w:rsidR="008C5664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5B3A9C">
        <w:rPr>
          <w:sz w:val="24"/>
          <w:szCs w:val="24"/>
        </w:rPr>
        <w:t>Акт сверки взаимных расчетов, подписанный сторонами, имеет юридическую силу и в случае передачи его по электронной почте до обмена оригиналами. Порядок подписания и обмена документами ана</w:t>
      </w:r>
      <w:r>
        <w:rPr>
          <w:sz w:val="24"/>
          <w:szCs w:val="24"/>
        </w:rPr>
        <w:t xml:space="preserve">логичен порядку, указанному в п. </w:t>
      </w:r>
      <w:r w:rsidRPr="005B3A9C">
        <w:rPr>
          <w:sz w:val="24"/>
          <w:szCs w:val="24"/>
        </w:rPr>
        <w:t xml:space="preserve">8.3 </w:t>
      </w:r>
      <w:r>
        <w:rPr>
          <w:sz w:val="24"/>
          <w:szCs w:val="24"/>
        </w:rPr>
        <w:t>Д</w:t>
      </w:r>
      <w:r w:rsidRPr="005B3A9C">
        <w:rPr>
          <w:sz w:val="24"/>
          <w:szCs w:val="24"/>
        </w:rPr>
        <w:t>оговора.</w:t>
      </w:r>
    </w:p>
    <w:p w:rsidR="008C5664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В случае прекращения действия либо досрочного расторжения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 xml:space="preserve">оговора, стороны обязуются составить и подписать окончательный акт сверки взаиморасчетов на дату прекращения действия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 xml:space="preserve">оговора в порядке, указанном в </w:t>
      </w:r>
      <w:r>
        <w:rPr>
          <w:sz w:val="24"/>
          <w:szCs w:val="24"/>
        </w:rPr>
        <w:t>п.</w:t>
      </w:r>
      <w:r w:rsidRPr="00103314">
        <w:rPr>
          <w:sz w:val="24"/>
          <w:szCs w:val="24"/>
        </w:rPr>
        <w:t xml:space="preserve"> 4.7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оговора.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Ответственность сторон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случаях неисполнения или ненадлежащего исполнения сторонами обязательств, принятых на себя по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оговору, стороны несут ответственность в соответствии с действующим законодательством Российской Федерации.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случае, если Поставщик поставил ТМЦ, которые не соответствуют ГОСТу, и/или ТУ и/или другим нормативным документам, прочим требованиям, указанным в согласованных сторонами спецификациях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 и качество ТМЦ не подтверждается соответствующим документом о качестве, Покупатель имеет право отказаться от всех поставленных некачественных ТМЦ и возвратить их Поставщику по акту приема-передачи некачественных ТМЦ. Расходы Покупателя на возврат некачественных ТМЦ возмещаются Поставщиком на основании предъявленных Покупателем документов, подтверждающих такие расходы. Под понятие «некачественные ТМЦ» в рамках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оговора помимо общепринятых оснований подпадает продукция, являющаяся не новой, бывшей в употреблении, независимо от того, возможна ли ее дальнейшая эксплуатация, продукция, восстановленная на основе бывшей в употреблении продукции (доработанная, отремонтированная), а также продукция, полностью или частично непригодная к использованию по </w:t>
      </w:r>
      <w:r w:rsidRPr="00FC2420">
        <w:rPr>
          <w:sz w:val="24"/>
          <w:szCs w:val="24"/>
        </w:rPr>
        <w:lastRenderedPageBreak/>
        <w:t xml:space="preserve">назначению, в том числе по любым причинам, не зависящим от Покупателя (производственный брак, продукция, поврежденная при транспортировке в связи с несоблюдением поставщиком или транспортной организацией правил погрузки, маркировки, закрепления продукции и т.д.), продукция, качество которой не подтверждено соответствующим документом (сертификатом качества, паспортом и т.д.), а также продукция, при эксплуатации которой невозможно получение результата, указанного в технической документации к ней или рекламных проспектах Поставщика.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Поставщик гарантирует высокое качество поставляемых ТМЦ. Гарантийный срок на ТМЦ устанавливается Поставщиком и отражается в спецификациях. Установленный Поставщиком гарантийный срок не может быть меньше срока, установленного в паспорте или сертификате качества на ТМЦ. В случае, если в спецификации установлен гарантийный срок менее установленного паспортом или сертификатом качества на ТМЦ, действительным является срок, установленный паспортом или сертификатом качества на ТМЦ.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 непоставки или несвоевременной поставки ТМЦ, указанных в соответствующей спецификации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 либо поставки ТМЦ в количестве менее, чем предусмотрено в спецификации, Поставщик уплачивает Покупателю пени (штрафная неустойка) в размере</w:t>
      </w:r>
      <w:r>
        <w:rPr>
          <w:sz w:val="24"/>
          <w:szCs w:val="24"/>
        </w:rPr>
        <w:t xml:space="preserve"> 0,1% </w:t>
      </w:r>
      <w:r w:rsidRPr="00FC2420">
        <w:rPr>
          <w:sz w:val="24"/>
          <w:szCs w:val="24"/>
        </w:rPr>
        <w:t xml:space="preserve">от суммы (стоимости) не поставленных или несвоевременно поставленных в срок ТМЦ за каждый день просрочки поставки. Оплата штрафных санкций не освобождает Поставщика от надлежащего исполнения своих обязательств по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Счет-фактура или универсальный передаточный документ о</w:t>
      </w:r>
      <w:r>
        <w:rPr>
          <w:sz w:val="24"/>
          <w:szCs w:val="24"/>
        </w:rPr>
        <w:t xml:space="preserve">формляются в соответствии со ст. </w:t>
      </w:r>
      <w:r w:rsidRPr="00FC2420">
        <w:rPr>
          <w:sz w:val="24"/>
          <w:szCs w:val="24"/>
        </w:rPr>
        <w:t xml:space="preserve">168, </w:t>
      </w:r>
      <w:r>
        <w:rPr>
          <w:sz w:val="24"/>
          <w:szCs w:val="24"/>
        </w:rPr>
        <w:t>1</w:t>
      </w:r>
      <w:r w:rsidRPr="00FC2420">
        <w:rPr>
          <w:sz w:val="24"/>
          <w:szCs w:val="24"/>
        </w:rPr>
        <w:t xml:space="preserve">69 Налогового кодекса </w:t>
      </w:r>
      <w:r>
        <w:rPr>
          <w:sz w:val="24"/>
          <w:szCs w:val="24"/>
        </w:rPr>
        <w:t>РФ</w:t>
      </w:r>
      <w:r w:rsidRPr="00FC2420">
        <w:rPr>
          <w:sz w:val="24"/>
          <w:szCs w:val="24"/>
        </w:rPr>
        <w:t xml:space="preserve"> и/или письма ФНС России от 21.10.2013 № ММВ-20-3/96@. При несоблюдении вышеуказанных норм Налогового кодекса РФ, счет-фактура или универсальный передаточный документ являются не выставленными, а сумма НДС не предъявленной Поставщиком к оплате. Кроме того, в случае нарушения Поставщиком установленного порядка оформления счетов-фактур или универсального передаточного документа и сроков направления счетов-фактур или универсального передаточного документа Покупателю, Поставщик возмещает Покупателю убытки, понесенные последним по неправомерному вычету сумм налога на добавленную стоимость.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 несвоевременной передачи документов, указанных в </w:t>
      </w:r>
      <w:r>
        <w:rPr>
          <w:sz w:val="24"/>
          <w:szCs w:val="24"/>
        </w:rPr>
        <w:t xml:space="preserve">подп. </w:t>
      </w:r>
      <w:r w:rsidRPr="00FC2420">
        <w:rPr>
          <w:sz w:val="24"/>
          <w:szCs w:val="24"/>
        </w:rPr>
        <w:t xml:space="preserve">3.1.4, 3.1.8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оговора, Покупатель вправе потребовать от Поставщика уплаты неусто</w:t>
      </w:r>
      <w:r>
        <w:rPr>
          <w:sz w:val="24"/>
          <w:szCs w:val="24"/>
        </w:rPr>
        <w:t xml:space="preserve">йки в размере 0,1% </w:t>
      </w:r>
      <w:r w:rsidRPr="00FC2420">
        <w:rPr>
          <w:sz w:val="24"/>
          <w:szCs w:val="24"/>
        </w:rPr>
        <w:t xml:space="preserve">от стоимости ТМЦ, на которые не предоставлены такие документы, за каждый день просрочки.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 уступки прав и/или обязанностей Поставщиком по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 в нарушение требований </w:t>
      </w:r>
      <w:r>
        <w:rPr>
          <w:sz w:val="24"/>
          <w:szCs w:val="24"/>
        </w:rPr>
        <w:t>подп.</w:t>
      </w:r>
      <w:r w:rsidRPr="00FC2420">
        <w:rPr>
          <w:sz w:val="24"/>
          <w:szCs w:val="24"/>
        </w:rPr>
        <w:t xml:space="preserve"> 3.1.9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оговора, Поставщик уплачивает Покупателю штраф в размере 10 % от суммы (стоимости) уступленного права требования.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Форс-мажор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силы, которых не существовало на момент заключения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оговора, а именно: землетрясение, наводнение, пожары, эпидемии, война или военные действия. О начале и прекращении форс-мажорных обстоятельств стороны в </w:t>
      </w:r>
      <w:r w:rsidRPr="0071281D">
        <w:rPr>
          <w:sz w:val="24"/>
          <w:szCs w:val="24"/>
        </w:rPr>
        <w:lastRenderedPageBreak/>
        <w:t>письменной форме уведомляют друг друга в течение трех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 случае, если вследствие форс-мажорных обстоятельств просрочка в выполнении обязательств по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оговору составит более трех месяцев, любая из сторон вправе отказаться от выполнения своих обязательств с обязательной ликвидацией взаимной задолженности по согласованию сторон.</w:t>
      </w:r>
    </w:p>
    <w:p w:rsidR="008C5664" w:rsidRPr="004876CD" w:rsidRDefault="008C5664" w:rsidP="008C5664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rPr>
          <w:sz w:val="24"/>
          <w:szCs w:val="24"/>
        </w:rPr>
      </w:pPr>
    </w:p>
    <w:p w:rsidR="008C5664" w:rsidRPr="00103314" w:rsidRDefault="008C5664" w:rsidP="008C566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ind w:left="540" w:hanging="540"/>
      </w:pPr>
      <w:r>
        <w:rPr>
          <w:b/>
          <w:sz w:val="24"/>
          <w:szCs w:val="24"/>
        </w:rPr>
        <w:t>Срок действия Д</w:t>
      </w:r>
      <w:r w:rsidRPr="00103314">
        <w:rPr>
          <w:b/>
          <w:sz w:val="24"/>
          <w:szCs w:val="24"/>
        </w:rPr>
        <w:t>оговора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 вступает в силу с момента подписания сторонами</w:t>
      </w:r>
      <w:r w:rsidR="00F80444">
        <w:rPr>
          <w:sz w:val="24"/>
          <w:szCs w:val="24"/>
        </w:rPr>
        <w:t xml:space="preserve"> и действует до 31 декабря 2022</w:t>
      </w:r>
      <w:r w:rsidRPr="00103314">
        <w:rPr>
          <w:sz w:val="24"/>
          <w:szCs w:val="24"/>
        </w:rPr>
        <w:t xml:space="preserve"> года, а в части исполнения обязательств – до полного исполнения обязательств Сторонами. В случае если ни одна из сторон не менее, чем за 10 дней до</w:t>
      </w:r>
      <w:r>
        <w:rPr>
          <w:sz w:val="24"/>
          <w:szCs w:val="24"/>
        </w:rPr>
        <w:t xml:space="preserve"> даты окончания срока действия Д</w:t>
      </w:r>
      <w:r w:rsidRPr="00103314">
        <w:rPr>
          <w:sz w:val="24"/>
          <w:szCs w:val="24"/>
        </w:rPr>
        <w:t xml:space="preserve">оговора не заявит о его расторжении,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 автоматически считается продленным на каждый последующий календарный год.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ind w:left="540" w:hanging="540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Дополнительные условия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Все изменения и дополнения к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оговору действительны в том случае, если они оформлены в письменном виде, подписаны полномочными представителями обеих сторон.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 случае изменения платежных и/или отгрузочных реквизитов, а также </w:t>
      </w:r>
      <w:r>
        <w:rPr>
          <w:sz w:val="24"/>
          <w:szCs w:val="24"/>
        </w:rPr>
        <w:t>адреса места нахождения</w:t>
      </w:r>
      <w:r w:rsidRPr="0071281D">
        <w:rPr>
          <w:sz w:val="24"/>
          <w:szCs w:val="24"/>
        </w:rPr>
        <w:t xml:space="preserve"> и/или почтового адреса, сторона, у которой произошли изменения, обязана известить об этом другую сторону в течение 5 (пяти) рабочих дней с момента их изменения. Все убытки, связанные с неправильным указанием платежных и/или отгрузочных реквизитов, несет виновная сторона.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оговор, подписанный сторонами, имеет юридическую силу и в случае передачи его по электронной почте до обмена оригиналами. При этом сторона, от которой исходит оферта, обязана подписать и выслать оригинал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 другой стороне для подписания, а другая сторона в течение 10 (десяти) дней</w:t>
      </w:r>
      <w:r>
        <w:rPr>
          <w:sz w:val="24"/>
          <w:szCs w:val="24"/>
        </w:rPr>
        <w:t xml:space="preserve"> с момента получения оригинала Д</w:t>
      </w:r>
      <w:r w:rsidRPr="0071281D">
        <w:rPr>
          <w:sz w:val="24"/>
          <w:szCs w:val="24"/>
        </w:rPr>
        <w:t xml:space="preserve">оговора обязана его подписать и направить соответствующие экземпляры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оговора в адрес стороны, от которой исходит оферта. 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Местом исполнения обязательства по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оговору является местонахождение Покупателя. 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Все споры, возникающие между сторонами при исполнении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оговора, решаются сторонами путем переговоров. При не достижении согласия спор передается на разрешение в Арбитражный суд Забайкальского края. До обращения в Арбитражный суд для решения спора между сторонами применяется претензионный порядок урегулирования споров. Срок рассмотрения претензии 10 (десять) дней со дня получения претензии.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Ни одна из сторон не вправе передавать свои права и обязанности по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оговору третьей стороне без согласия другой стороны, оформленному в письменной форме.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По всем вопросам, связанным с поставкой и оплатой ТМЦ и не урегулированные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оговором, стороны договорились руководствоваться действующим законодательством РФ.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 составлен и подписан в 2-х экземплярах, каждый из которых имеет одинаковую юридическую силу. Один экземпляр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оговора находится у Поставщика; второй экземпляр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 находится у Покупателя.</w:t>
      </w:r>
    </w:p>
    <w:p w:rsidR="008C5664" w:rsidRPr="00144E88" w:rsidRDefault="008C5664" w:rsidP="00144E88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  <w:highlight w:val="white"/>
          <w:lang w:val="en-US"/>
        </w:rPr>
      </w:pPr>
      <w:r w:rsidRPr="0071281D">
        <w:rPr>
          <w:sz w:val="24"/>
          <w:szCs w:val="24"/>
        </w:rPr>
        <w:lastRenderedPageBreak/>
        <w:t xml:space="preserve">Ответственный за надлежащее исполнение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 со стороны Покупателя Паладецкая Ири</w:t>
      </w:r>
      <w:r>
        <w:rPr>
          <w:sz w:val="24"/>
          <w:szCs w:val="24"/>
        </w:rPr>
        <w:t>на Сергеевна, тел. (3022) 38465</w:t>
      </w:r>
      <w:r w:rsidR="00144E88">
        <w:rPr>
          <w:sz w:val="24"/>
          <w:szCs w:val="24"/>
        </w:rPr>
        <w:t>7</w:t>
      </w:r>
      <w:r w:rsidRPr="00144E88">
        <w:rPr>
          <w:sz w:val="24"/>
          <w:szCs w:val="24"/>
        </w:rPr>
        <w:t>, адрес электронной почты</w:t>
      </w:r>
      <w:r w:rsidRPr="00144E88">
        <w:rPr>
          <w:sz w:val="24"/>
          <w:szCs w:val="24"/>
          <w:highlight w:val="white"/>
        </w:rPr>
        <w:t xml:space="preserve">: </w:t>
      </w:r>
      <w:hyperlink r:id="rId7" w:history="1">
        <w:r w:rsidRPr="00144E88">
          <w:rPr>
            <w:rStyle w:val="a5"/>
            <w:sz w:val="24"/>
            <w:szCs w:val="24"/>
            <w:highlight w:val="white"/>
            <w:lang w:val="en-US"/>
          </w:rPr>
          <w:t>paladetskaya</w:t>
        </w:r>
        <w:r w:rsidRPr="00144E88">
          <w:rPr>
            <w:rStyle w:val="a5"/>
            <w:sz w:val="24"/>
            <w:szCs w:val="24"/>
            <w:highlight w:val="white"/>
          </w:rPr>
          <w:t>@</w:t>
        </w:r>
        <w:r w:rsidRPr="00144E88">
          <w:rPr>
            <w:rStyle w:val="a5"/>
            <w:sz w:val="24"/>
            <w:szCs w:val="24"/>
            <w:highlight w:val="white"/>
            <w:lang w:val="en-US"/>
          </w:rPr>
          <w:t>chita</w:t>
        </w:r>
        <w:r w:rsidRPr="00144E88">
          <w:rPr>
            <w:rStyle w:val="a5"/>
            <w:sz w:val="24"/>
            <w:szCs w:val="24"/>
            <w:highlight w:val="white"/>
          </w:rPr>
          <w:t>.</w:t>
        </w:r>
        <w:r w:rsidRPr="00144E88">
          <w:rPr>
            <w:rStyle w:val="a5"/>
            <w:sz w:val="24"/>
            <w:szCs w:val="24"/>
            <w:highlight w:val="white"/>
            <w:lang w:val="en-US"/>
          </w:rPr>
          <w:t>tgk</w:t>
        </w:r>
        <w:r w:rsidRPr="00144E88">
          <w:rPr>
            <w:rStyle w:val="a5"/>
            <w:sz w:val="24"/>
            <w:szCs w:val="24"/>
            <w:highlight w:val="white"/>
          </w:rPr>
          <w:t>-14.</w:t>
        </w:r>
        <w:r w:rsidRPr="00144E88">
          <w:rPr>
            <w:rStyle w:val="a5"/>
            <w:sz w:val="24"/>
            <w:szCs w:val="24"/>
            <w:highlight w:val="white"/>
            <w:lang w:val="en-US"/>
          </w:rPr>
          <w:t>com</w:t>
        </w:r>
      </w:hyperlink>
    </w:p>
    <w:p w:rsidR="008C5664" w:rsidRPr="004F30C0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rPr>
          <w:b/>
          <w:sz w:val="24"/>
          <w:szCs w:val="24"/>
        </w:rPr>
      </w:pPr>
    </w:p>
    <w:p w:rsidR="008C5664" w:rsidRPr="004876CD" w:rsidRDefault="008C5664" w:rsidP="008C566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ind w:left="540" w:hanging="540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Адреса, реквизиты и подписи Сторон</w:t>
      </w:r>
    </w:p>
    <w:tbl>
      <w:tblPr>
        <w:tblW w:w="949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C5664" w:rsidRPr="00F0453B" w:rsidTr="008A638A">
        <w:trPr>
          <w:trHeight w:val="5960"/>
        </w:trPr>
        <w:tc>
          <w:tcPr>
            <w:tcW w:w="4749" w:type="dxa"/>
          </w:tcPr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0453B">
              <w:rPr>
                <w:b/>
                <w:sz w:val="24"/>
                <w:szCs w:val="24"/>
              </w:rPr>
              <w:t>ПОСТАВЩИК</w:t>
            </w:r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4F30C0">
              <w:rPr>
                <w:b/>
                <w:color w:val="000000"/>
                <w:sz w:val="24"/>
                <w:szCs w:val="24"/>
              </w:rPr>
              <w:t>[</w:t>
            </w:r>
            <w:r w:rsidRPr="004F30C0">
              <w:rPr>
                <w:b/>
                <w:color w:val="000000"/>
                <w:sz w:val="24"/>
                <w:szCs w:val="24"/>
                <w:highlight w:val="green"/>
              </w:rPr>
              <w:t>сокращенное наименование</w:t>
            </w:r>
            <w:r w:rsidRPr="004F30C0">
              <w:rPr>
                <w:b/>
                <w:color w:val="000000"/>
                <w:sz w:val="24"/>
                <w:szCs w:val="24"/>
              </w:rPr>
              <w:t>]</w:t>
            </w:r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F30C0">
              <w:rPr>
                <w:color w:val="000000"/>
                <w:sz w:val="24"/>
                <w:szCs w:val="24"/>
              </w:rPr>
              <w:t>[</w:t>
            </w:r>
            <w:r w:rsidRPr="004F30C0">
              <w:rPr>
                <w:color w:val="000000"/>
                <w:sz w:val="24"/>
                <w:szCs w:val="24"/>
                <w:highlight w:val="green"/>
              </w:rPr>
              <w:t>адрес места нахождения ОГРН, ИНН, КПП организации либо адрес регистрации по месту жительства индивидуального предпринимателя, ОГРНИП</w:t>
            </w:r>
            <w:r>
              <w:rPr>
                <w:color w:val="000000"/>
                <w:sz w:val="24"/>
                <w:szCs w:val="24"/>
                <w:highlight w:val="green"/>
              </w:rPr>
              <w:t>, ИНН</w:t>
            </w:r>
            <w:r w:rsidRPr="004F30C0">
              <w:rPr>
                <w:color w:val="000000"/>
                <w:sz w:val="24"/>
                <w:szCs w:val="24"/>
                <w:highlight w:val="green"/>
              </w:rPr>
              <w:t>, платежные реквизиты, контактные данные (телефон, адрес электронной почты)</w:t>
            </w:r>
            <w:r w:rsidRPr="004F30C0">
              <w:rPr>
                <w:color w:val="000000"/>
                <w:sz w:val="24"/>
                <w:szCs w:val="24"/>
              </w:rPr>
              <w:t>]</w:t>
            </w: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4C0E0C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8C566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8C5664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уполномоченное лицо</w:t>
            </w:r>
            <w:r w:rsidRPr="008C5664">
              <w:rPr>
                <w:sz w:val="24"/>
                <w:szCs w:val="24"/>
              </w:rPr>
              <w:t>]</w:t>
            </w: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F0453B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8C5664" w:rsidRDefault="008C5664" w:rsidP="008A638A">
            <w:pPr>
              <w:spacing w:line="276" w:lineRule="auto"/>
              <w:ind w:left="7"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F0453B">
              <w:rPr>
                <w:sz w:val="24"/>
                <w:szCs w:val="24"/>
              </w:rPr>
              <w:t xml:space="preserve"> </w:t>
            </w:r>
            <w:r w:rsidRPr="008C5664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инициалы, фамилия</w:t>
            </w:r>
            <w:r w:rsidRPr="008C5664">
              <w:rPr>
                <w:sz w:val="24"/>
                <w:szCs w:val="24"/>
              </w:rPr>
              <w:t>]</w:t>
            </w:r>
          </w:p>
          <w:p w:rsidR="008C5664" w:rsidRPr="00F0453B" w:rsidRDefault="008C5664" w:rsidP="008A638A">
            <w:pPr>
              <w:spacing w:line="276" w:lineRule="auto"/>
              <w:ind w:left="7" w:hanging="7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м.п.</w:t>
            </w:r>
          </w:p>
        </w:tc>
        <w:tc>
          <w:tcPr>
            <w:tcW w:w="4749" w:type="dxa"/>
          </w:tcPr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4"/>
                <w:szCs w:val="24"/>
              </w:rPr>
            </w:pPr>
            <w:r w:rsidRPr="00F0453B">
              <w:rPr>
                <w:b/>
                <w:sz w:val="24"/>
                <w:szCs w:val="24"/>
              </w:rPr>
              <w:t>ПОКУПАТЕЛЬ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0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ПАО «ТГК-14»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 xml:space="preserve">Адрес </w:t>
            </w:r>
            <w:r>
              <w:rPr>
                <w:sz w:val="24"/>
                <w:szCs w:val="24"/>
              </w:rPr>
              <w:t>(</w:t>
            </w:r>
            <w:r w:rsidRPr="00F0453B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F0453B">
              <w:rPr>
                <w:sz w:val="24"/>
                <w:szCs w:val="24"/>
              </w:rPr>
              <w:t xml:space="preserve"> нахождения</w:t>
            </w:r>
            <w:r>
              <w:rPr>
                <w:sz w:val="24"/>
                <w:szCs w:val="24"/>
              </w:rPr>
              <w:t>)</w:t>
            </w:r>
            <w:r w:rsidRPr="00F0453B">
              <w:rPr>
                <w:sz w:val="24"/>
                <w:szCs w:val="24"/>
              </w:rPr>
              <w:t>: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672000, г. Чита, ул. Профсоюзная, д.</w:t>
            </w:r>
            <w:r>
              <w:rPr>
                <w:sz w:val="24"/>
                <w:szCs w:val="24"/>
              </w:rPr>
              <w:t xml:space="preserve"> </w:t>
            </w:r>
            <w:r w:rsidRPr="00F0453B">
              <w:rPr>
                <w:sz w:val="24"/>
                <w:szCs w:val="24"/>
              </w:rPr>
              <w:t>23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ОГРН 1047550031242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ИНН 7534018889 КПП 753401001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р/с 40702810774000104195</w:t>
            </w:r>
            <w:r>
              <w:rPr>
                <w:sz w:val="24"/>
                <w:szCs w:val="24"/>
              </w:rPr>
              <w:t xml:space="preserve"> в Читинском отделении № 8600 ПАО Сбербанк</w:t>
            </w:r>
            <w:r w:rsidRPr="00F0453B">
              <w:rPr>
                <w:sz w:val="24"/>
                <w:szCs w:val="24"/>
              </w:rPr>
              <w:t xml:space="preserve"> г. Чита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к/с 30101810500000000637 БИК 047601637</w:t>
            </w:r>
          </w:p>
          <w:p w:rsidR="008C566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both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Телефон: (3022) 384559, факс 384555</w:t>
            </w:r>
          </w:p>
          <w:p w:rsidR="008C566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почты:</w:t>
            </w:r>
          </w:p>
          <w:p w:rsidR="008C5664" w:rsidRPr="004F30C0" w:rsidRDefault="002422D7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both"/>
              <w:rPr>
                <w:sz w:val="24"/>
                <w:szCs w:val="24"/>
              </w:rPr>
            </w:pPr>
            <w:hyperlink r:id="rId8" w:history="1"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office</w:t>
              </w:r>
              <w:r w:rsidR="008C5664" w:rsidRPr="004F30C0">
                <w:rPr>
                  <w:rStyle w:val="a5"/>
                  <w:sz w:val="24"/>
                  <w:szCs w:val="24"/>
                </w:rPr>
                <w:t>@</w:t>
              </w:r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chita</w:t>
              </w:r>
              <w:r w:rsidR="008C5664" w:rsidRPr="004F30C0">
                <w:rPr>
                  <w:rStyle w:val="a5"/>
                  <w:sz w:val="24"/>
                  <w:szCs w:val="24"/>
                </w:rPr>
                <w:t>.</w:t>
              </w:r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tgk</w:t>
              </w:r>
              <w:r w:rsidR="008C5664" w:rsidRPr="004F30C0">
                <w:rPr>
                  <w:rStyle w:val="a5"/>
                  <w:sz w:val="24"/>
                  <w:szCs w:val="24"/>
                </w:rPr>
                <w:t>-14.</w:t>
              </w:r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com</w:t>
              </w:r>
            </w:hyperlink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4F30C0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уполномоченное лицо</w:t>
            </w:r>
            <w:r w:rsidRPr="004F30C0">
              <w:rPr>
                <w:sz w:val="24"/>
                <w:szCs w:val="24"/>
              </w:rPr>
              <w:t>]</w:t>
            </w: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F0453B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4F30C0" w:rsidRDefault="008C5664" w:rsidP="008A638A">
            <w:pPr>
              <w:spacing w:line="276" w:lineRule="auto"/>
              <w:ind w:left="7"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F0453B">
              <w:rPr>
                <w:sz w:val="24"/>
                <w:szCs w:val="24"/>
              </w:rPr>
              <w:t xml:space="preserve"> </w:t>
            </w:r>
            <w:r w:rsidRPr="004F30C0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инициалы, фамилия</w:t>
            </w:r>
            <w:r w:rsidRPr="004F30C0">
              <w:rPr>
                <w:sz w:val="24"/>
                <w:szCs w:val="24"/>
              </w:rPr>
              <w:t>]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м.п.</w:t>
            </w:r>
          </w:p>
        </w:tc>
      </w:tr>
    </w:tbl>
    <w:p w:rsidR="008C5664" w:rsidRDefault="008C5664" w:rsidP="008C5664">
      <w:pPr>
        <w:spacing w:after="160" w:line="259" w:lineRule="auto"/>
      </w:pPr>
    </w:p>
    <w:p w:rsidR="00225368" w:rsidRPr="008C5664" w:rsidRDefault="00225368" w:rsidP="008C5664">
      <w:bookmarkStart w:id="0" w:name="_GoBack"/>
      <w:bookmarkEnd w:id="0"/>
    </w:p>
    <w:sectPr w:rsidR="00225368" w:rsidRPr="008C5664" w:rsidSect="00202455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2D7" w:rsidRDefault="002422D7">
      <w:r>
        <w:separator/>
      </w:r>
    </w:p>
  </w:endnote>
  <w:endnote w:type="continuationSeparator" w:id="0">
    <w:p w:rsidR="002422D7" w:rsidRDefault="0024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32779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81641" w:rsidRPr="00A81641" w:rsidRDefault="008C5664" w:rsidP="00A81641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0444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0444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2D7" w:rsidRDefault="002422D7">
      <w:r>
        <w:separator/>
      </w:r>
    </w:p>
  </w:footnote>
  <w:footnote w:type="continuationSeparator" w:id="0">
    <w:p w:rsidR="002422D7" w:rsidRDefault="00242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34853"/>
    <w:multiLevelType w:val="multilevel"/>
    <w:tmpl w:val="D14E54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747045B"/>
    <w:multiLevelType w:val="hybridMultilevel"/>
    <w:tmpl w:val="DA6E5014"/>
    <w:lvl w:ilvl="0" w:tplc="4CDAC23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A36CC"/>
    <w:multiLevelType w:val="multilevel"/>
    <w:tmpl w:val="DE46D482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38A375B0"/>
    <w:multiLevelType w:val="multilevel"/>
    <w:tmpl w:val="68F02C04"/>
    <w:lvl w:ilvl="0">
      <w:start w:val="1"/>
      <w:numFmt w:val="bullet"/>
      <w:lvlText w:val="●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4F890EC5"/>
    <w:multiLevelType w:val="multilevel"/>
    <w:tmpl w:val="A9C6A44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DB3412"/>
    <w:multiLevelType w:val="hybridMultilevel"/>
    <w:tmpl w:val="40DEF73E"/>
    <w:lvl w:ilvl="0" w:tplc="A73653B2">
      <w:start w:val="1"/>
      <w:numFmt w:val="decimal"/>
      <w:lvlText w:val="2.3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A0219"/>
    <w:multiLevelType w:val="multilevel"/>
    <w:tmpl w:val="5FCE005A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58F90C9A"/>
    <w:multiLevelType w:val="hybridMultilevel"/>
    <w:tmpl w:val="001803E8"/>
    <w:lvl w:ilvl="0" w:tplc="1BF03E6E">
      <w:start w:val="1"/>
      <w:numFmt w:val="decimal"/>
      <w:lvlText w:val="3.1.%1."/>
      <w:lvlJc w:val="left"/>
      <w:pPr>
        <w:ind w:left="65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97125"/>
    <w:multiLevelType w:val="multilevel"/>
    <w:tmpl w:val="A4BC68AE"/>
    <w:lvl w:ilvl="0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5EAC498D"/>
    <w:multiLevelType w:val="multilevel"/>
    <w:tmpl w:val="ED162C7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  <w:b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00743C2"/>
    <w:multiLevelType w:val="multilevel"/>
    <w:tmpl w:val="4AA630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 w15:restartNumberingAfterBreak="0">
    <w:nsid w:val="61A9505C"/>
    <w:multiLevelType w:val="multilevel"/>
    <w:tmpl w:val="0D6411A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6673172F"/>
    <w:multiLevelType w:val="multilevel"/>
    <w:tmpl w:val="4FAAB4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69151A5B"/>
    <w:multiLevelType w:val="multilevel"/>
    <w:tmpl w:val="6190257C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76F85ED8"/>
    <w:multiLevelType w:val="multilevel"/>
    <w:tmpl w:val="7F068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788A1F44"/>
    <w:multiLevelType w:val="multilevel"/>
    <w:tmpl w:val="712AB3C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9A051E2"/>
    <w:multiLevelType w:val="multilevel"/>
    <w:tmpl w:val="2F844D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7BF52AD8"/>
    <w:multiLevelType w:val="multilevel"/>
    <w:tmpl w:val="77EE760A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7E4C764A"/>
    <w:multiLevelType w:val="multilevel"/>
    <w:tmpl w:val="209A37C6"/>
    <w:lvl w:ilvl="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4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13"/>
  </w:num>
  <w:num w:numId="10">
    <w:abstractNumId w:val="16"/>
  </w:num>
  <w:num w:numId="11">
    <w:abstractNumId w:val="9"/>
  </w:num>
  <w:num w:numId="12">
    <w:abstractNumId w:val="7"/>
  </w:num>
  <w:num w:numId="13">
    <w:abstractNumId w:val="8"/>
  </w:num>
  <w:num w:numId="14">
    <w:abstractNumId w:val="17"/>
  </w:num>
  <w:num w:numId="15">
    <w:abstractNumId w:val="11"/>
  </w:num>
  <w:num w:numId="16">
    <w:abstractNumId w:val="6"/>
  </w:num>
  <w:num w:numId="17">
    <w:abstractNumId w:val="18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21D"/>
    <w:rsid w:val="00082FB3"/>
    <w:rsid w:val="00144E88"/>
    <w:rsid w:val="001654AF"/>
    <w:rsid w:val="00201243"/>
    <w:rsid w:val="00225368"/>
    <w:rsid w:val="002422D7"/>
    <w:rsid w:val="002527CF"/>
    <w:rsid w:val="00282074"/>
    <w:rsid w:val="00282D1E"/>
    <w:rsid w:val="00286C25"/>
    <w:rsid w:val="0029255F"/>
    <w:rsid w:val="002948FA"/>
    <w:rsid w:val="002D2B31"/>
    <w:rsid w:val="003C3F40"/>
    <w:rsid w:val="004D6054"/>
    <w:rsid w:val="005055E3"/>
    <w:rsid w:val="00553F7B"/>
    <w:rsid w:val="0056065B"/>
    <w:rsid w:val="00583D0D"/>
    <w:rsid w:val="005B2483"/>
    <w:rsid w:val="005B3A9C"/>
    <w:rsid w:val="00656871"/>
    <w:rsid w:val="0067248B"/>
    <w:rsid w:val="00676441"/>
    <w:rsid w:val="006D28AD"/>
    <w:rsid w:val="007451E2"/>
    <w:rsid w:val="008240A7"/>
    <w:rsid w:val="008855A6"/>
    <w:rsid w:val="008C5664"/>
    <w:rsid w:val="00904B7C"/>
    <w:rsid w:val="009C7B6A"/>
    <w:rsid w:val="00A45235"/>
    <w:rsid w:val="00A827CC"/>
    <w:rsid w:val="00AA6270"/>
    <w:rsid w:val="00AE121D"/>
    <w:rsid w:val="00B8380D"/>
    <w:rsid w:val="00BD5372"/>
    <w:rsid w:val="00C02996"/>
    <w:rsid w:val="00D4108D"/>
    <w:rsid w:val="00D55E3F"/>
    <w:rsid w:val="00D81DE5"/>
    <w:rsid w:val="00E4157B"/>
    <w:rsid w:val="00F2263C"/>
    <w:rsid w:val="00F756B7"/>
    <w:rsid w:val="00F8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30A2"/>
  <w15:chartTrackingRefBased/>
  <w15:docId w15:val="{1845D3B1-D204-40BA-B381-3411973A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A6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3A9C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table" w:styleId="a4">
    <w:name w:val="Table Grid"/>
    <w:basedOn w:val="a1"/>
    <w:uiPriority w:val="39"/>
    <w:rsid w:val="004D6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4108D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F2263C"/>
    <w:pPr>
      <w:ind w:left="720"/>
      <w:contextualSpacing/>
    </w:pPr>
  </w:style>
  <w:style w:type="paragraph" w:customStyle="1" w:styleId="12">
    <w:name w:val="Обычный + 12 пт"/>
    <w:aliases w:val="полужирный"/>
    <w:basedOn w:val="a"/>
    <w:uiPriority w:val="99"/>
    <w:rsid w:val="00583D0D"/>
    <w:rPr>
      <w:b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C56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56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chita.tgk-14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adetskaya@chita.tgk-14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3035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TGK14</Company>
  <LinksUpToDate>false</LinksUpToDate>
  <CharactersWithSpaces>20301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Присевко Анна Сергеевна</dc:creator>
  <cp:keywords/>
  <dc:description/>
  <cp:lastModifiedBy>Галимулина Татьяна Андреевна</cp:lastModifiedBy>
  <cp:revision>34</cp:revision>
  <dcterms:created xsi:type="dcterms:W3CDTF">2020-10-21T04:16:00Z</dcterms:created>
  <dcterms:modified xsi:type="dcterms:W3CDTF">2021-08-31T01:58:00Z</dcterms:modified>
</cp:coreProperties>
</file>